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Педиатрия (ординатура, ПП)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Педиатрия (ординатура, ПП) | Записей: 1 | Кейс: 1 | Вопросов: 12</w:t>
      </w:r>
    </w:p>
    <w:p>
      <w:r>
        <w:br w:type="page"/>
      </w:r>
    </w:p>
    <w:p>
      <w:pPr>
        <w:pStyle w:val="Heading1"/>
      </w:pPr>
      <w:r>
        <w:t>Педиатрия (ординатура, ПП)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Педиатрия (ординатура, 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Мама с девочкой-подростком 14 лет на приеме у участкового педиатра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Боли в животе, тошнота, изжога, отрыжка воздухом, чувство быстрого насыщения и переполнения в желудке после еды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жалобы появились год назад, когда стала периодически беспокоить тошнота, эпизодические боли в эпигастрии после еды. В течение последних 2 месяцев боли в участились и усилились, возникают во время или через 1-1,5 часа после еды. Месяц назад к болевому синдрому присоединилась отрыжка и изжога, которые возникают спонтанно в течение дня, чувство тяжести и переполнения в желудке после еды. Аппетит у ребенка снизился. На фоне боли в животе девочка ест редко (1-2 раза в день), небольшими порциями. Мама давала ребенку до еды отвар овса, после чего отмечалось незначительное снижение болевого синдрома. Последний эпизод боли был сегодня утром после завтрака. К врачу не обращалась, лекарственную терапию не получала.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1.4. Анамнез жизни</w:t>
        <w:br/>
        <w:t>Девочка от 2 беременности, протекавшей без особенностей, 2 срочных родов путем кесарева сечения (старший сестра – 17 лет, здорова). Масса тела при рождении 3600 г, длина 52 см. Оценка по шкале APGAR 9/10 баллов. Росла и развивалась согласно возрасту. Грудное вскармливание до 6 мес., далее искусственное, прикормы ведены с 6 мес. (гречневая каша и кабачок). Прививки выполнены по возрасту в соответствии с Национальным Календарем. Аллергологический анамнез не отягощён. Перенесла ветряную оспу, краснуху. На диспансерном учете у врачей специалистов не состоит, лекарственные препараты на постоянной основе не принимает. Вредные привычки отрицает. Учится в школе хорошо, посещает изостудию. Семейный анамнез отягощен: мать – 55 лет, эндемический зоб щитовидной железы; отец – 53 года, периодически беспокоит изжога , и боли в эпигастрии, не обследовался.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ребенка удовлетворительное, самочувствие хорошее, положение активное. Рост 164 см, вес 58 кг. Общая и очаговая неврологическая симптоматика отсутствует. Менингеальные знаки отрицательные. Кожные покровы чистые, обычной окраски, умеренной влажности, эластичные. Слизистые полости рта розовые, влажные, чистые, гиперемия в зеве отсутствует, миндалины не увеличены. Язык обложен белым налетом у корня. Периферические лимфоузлы не пальпируются. Подкожно-жировая клетчатка выражена избыточно. Периферических отеков нет. +</w:t>
        <w:br/>
        <w:t>Костно-мышечная система без видимой патологии. Носовое дыхание свободное. Дыхание везикулярное, хрипов нет. Частота дыхания – 17/мин. Границы сердечной тупости не расширены. Сердечные тоны звучные, ритмичные. Частота сердечных сокращений – 69/мин. АД – 115/75 мм рт. ст. Живот мягкий, умеренно болезненный пальпации в эпигастральной области, доступен глубокой пальпации. Печень и селезенка не увеличены. Пузырные симптомы отрицательные. Со слов девочки стул оформленный коричневого цвета, регулярный, мочеиспускание свободное, безболезненное, моча желтого цвета.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 основании жалоб и клинического течения заболевания в данном клиническом случае можно поставить предварительный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Язвенная болезнь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Хронический гастродуоденит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Желчно-каменная болезнь.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Хронический панкреатит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Хронический гастродуоденит</w:t>
      </w:r>
    </w:p>
    <w:p>
      <w:pPr>
        <w:ind w:left="504"/>
      </w:pPr>
      <w:r>
        <w:rPr>
          <w:b w:val="0"/>
          <w:i/>
        </w:rPr>
        <w:t>Клиническая картина складывается из 2 основных синдромов: болевого и диспептического. Боль в животе различна по интенсивности, может быть ранней (во время или через 10-20 мин после еды), поздней (спустя 1-1,5 ч после приема пищи). Локализация боли в эпигастральной и пилородуоденальной областях. Возможна иррадиация боли в левое подреберье, левую половину грудной клетки и руку.</w:t>
        <w:br/>
        <w:br/>
        <w:t>Диспептические симптомы: отрыжка, тошнота, рвота, нарушение аппетита. Характерных клинических симптомов у инфекции _H. pylori_ нет, возможно бессимптомное течение.</w:t>
        <w:br/>
        <w:br/>
        <w:t>Педиатрия / под ред. А. А. Баранова - Москва : ГЭОТАР-Медиа, 2014.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Решающим фактором в развитии хронического гастродуоденита считают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наследственный (отягощенный по гастриту)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кислотно-пептический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алиментарный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инфекционный (инфицированность _H. pylori_)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инфекционный (инфицированность _H. pylori_)</w:t>
      </w:r>
    </w:p>
    <w:p>
      <w:pPr>
        <w:ind w:left="504"/>
      </w:pPr>
      <w:r>
        <w:rPr>
          <w:b w:val="0"/>
          <w:i/>
        </w:rPr>
        <w:t>На фоне сохранения актуальности алиментарного, кислотно-пептического, аллергического, аутоиммунного, наследственного факторов в развитии ХГ и ХГД инфекционный фактор считают решающим и определяющим. _H. pylori_ - один из основных этиологических факторов развития ХГД, существенно повышающий риск развития язвенной болезни и рака желудка.</w:t>
        <w:br/>
        <w:br/>
        <w:t>Педиатрия / под ред. А. А. Баранова - Москва : ГЭОТАР-Медиа, 2014.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постановки диагноза необходимыми лабораторными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посев кала на кишечную группу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определение антигена _H. Pylori_ в кале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анализ крови биохимический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уровня IgА в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общий анализ кала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анализ крови клинический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определение антигена _H. Pylori_ в кале; анализ крови биохимический; анализ крови клинический</w:t>
      </w:r>
    </w:p>
    <w:p>
      <w:pPr>
        <w:ind w:left="504"/>
      </w:pPr>
      <w:r>
        <w:rPr>
          <w:b w:val="0"/>
          <w:i/>
        </w:rPr>
        <w:t>Определение моноклонального фекального антигена _H. pylori_ и уреазный дыхательный тест с С13-меченным атомом углерода (С13-УДТ) являются основными неинвазивными тестами.</w:t>
        <w:br/>
        <w:br/>
        <w:t>Клинические рекомендации Минздрава России «Язвенная болезнь желудка и/или двенадцатиперстной кишки», 2021 год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Язвенная болезнь желудка и/или двенадцатиперстной кишки», 2021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Обязательные лабораторные исследования - общий анализ крови и мочи, анализ кала на скрытую кровь, биохимический анализ крови (определение концентрации общего белка, альбумина, холестерина, глюкозы, амилазы, билирубина, железа, активности трансаминаз).</w:t>
        <w:br/>
        <w:br/>
        <w:t>Педиатрия / под ред. А. А. Баранова - Москва : ГЭОТАР-Медиа, 2014.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Обязательные лабораторные исследования - общий анализ крови и мочи, анализ кала на скрытую кровь, биохимический анализ крови (определение концентрации общего белка, альбумина, холестерина, глюкозы, амилазы, билирубина, железа, активности трансаминаз).</w:t>
        <w:br/>
        <w:br/>
        <w:t>Педиатрия / под ред. А. А. Баранова - Москва : ГЭОТАР-Медиа, 2014.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лабораторных методов обследования</w:t>
      </w:r>
    </w:p>
    <w:p>
      <w:pPr>
        <w:pStyle w:val="Heading3"/>
      </w:pPr>
      <w:r>
        <w:t>5.1. Определение  антигена H. Pylori в кале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_H.pylori_ качественное определение антигенов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Обнаружено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3"/>
      </w:pPr>
      <w:r>
        <w:t>5.2. Анализ крови клинический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 измерения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Гемоглобин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110-140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4,34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3,5-4,5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1012 клеток/л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Тромбоциты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230,0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229-553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109 клеток/л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5,3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4-10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109 клеток/л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Нейтрофилы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39-42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Эозинофилы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0,5-5,0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Лимфоциты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44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26-60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Моноциты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2-10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СОЭ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2-20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мм/час</w:t>
            </w:r>
          </w:p>
        </w:tc>
      </w:tr>
    </w:tbl>
    <w:p/>
    <w:p>
      <w:pPr>
        <w:pStyle w:val="Heading3"/>
      </w:pPr>
      <w:r>
        <w:t>5.3. Анализ крови биохимический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</w:tblGrid>
      <w:tr>
        <w:tc>
          <w:tcPr>
            <w:tcW w:type="dxa" w:w="197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Ед/изм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Долж.зн.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АЛТ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Ед/л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&lt;40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35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АСТ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Ед/л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&lt;42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29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Альбумин [m]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г/л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32 - 45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24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Белок общий [m]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г/л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60 - 80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59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Билирубин общий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мкмоль/л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3,7 - 20,5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6,2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Липаза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Ед/л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8-78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70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Железо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мкмоль/л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4,5-27,9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8,2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Глюкоза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ммоль/л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3,0-5,06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5,5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Калий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ммоль/л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3,5-5,1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3,6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Натрия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ммоль/л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136-152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137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Хлориды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ммоль/л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98-111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105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СРБ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мг/л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&lt;5</w:t>
            </w:r>
          </w:p>
        </w:tc>
        <w:tc>
          <w:tcPr>
            <w:tcW w:type="dxa" w:w="197"/>
          </w:tcPr>
          <w:p>
            <w:r>
              <w:rPr>
                <w:b/>
                <w:i w:val="0"/>
              </w:rPr>
              <w:t>21</w:t>
            </w:r>
          </w:p>
        </w:tc>
      </w:tr>
      <w:tr>
        <w:tc>
          <w:tcPr>
            <w:tcW w:type="dxa" w:w="197"/>
          </w:tcPr>
          <w:p>
            <w:r>
              <w:rPr>
                <w:b w:val="0"/>
                <w:i w:val="0"/>
              </w:rPr>
              <w:t>=====</w:t>
            </w:r>
          </w:p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  <w:tc>
          <w:tcPr>
            <w:tcW w:type="dxa" w:w="197"/>
          </w:tcPr>
          <w:p/>
        </w:tc>
      </w:tr>
    </w:tbl>
    <w:p/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постановки диагноза необходимым инструментальным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УЗИ органов брюшной полости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ФЭГДС с биопсией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хромоэндоскопия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обзорный рентгеновский снимок брюшной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ФЭГДС с биопсией</w:t>
      </w:r>
    </w:p>
    <w:p>
      <w:pPr>
        <w:ind w:left="504"/>
      </w:pPr>
      <w:r>
        <w:rPr>
          <w:b w:val="0"/>
          <w:i/>
        </w:rPr>
        <w:t>Эзофагогастродуоденоскопия - важнейший метод подтверждения диагноза, позволяющий оценить распространенность и характер поражения, получить биоптаты для морфологического исследования и определения инфекции _H. pylori_.</w:t>
        <w:br/>
        <w:br/>
        <w:t>Педиатрия / под ред. А. А. Баранова - Москва : ГЭОТАР-Медиа, 2014.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Результаты инструментальных методов обследования</w:t>
      </w:r>
    </w:p>
    <w:p>
      <w:pPr>
        <w:pStyle w:val="Heading3"/>
      </w:pPr>
      <w:r>
        <w:t>7.1. ФЭГДС с биопсией</w:t>
      </w:r>
    </w:p>
    <w:p>
      <w:pPr>
        <w:spacing w:after="58"/>
      </w:pPr>
      <w:r>
        <w:rPr>
          <w:b w:val="0"/>
          <w:i w:val="0"/>
        </w:rPr>
        <w:t>Слизистая пищевода розовая. Кардия смыкается полностью. В желудке натощак большое количество мутной слизи. На слизистой оболочке тела желудка множественные разнокалиберные выбухания белесого цвета, расположенные на фоне очаговой гиперемии (картина «булыжной мостовой»). В антральном отделе визуализируются высокие, утолщенные складки на фоне очаговой гиперемии слизистой оболочки. Привратник сомкнут. Луковица ДПК не деформирована. В постбульбарных отделах рыхлая слизистая. +</w:t>
        <w:br/>
        <w:t>Гистологическое исследование биоптатов слизистой оболочки желудка и 12-перстной кишки подтверждает воспалительные изменения, характерные для гастродуоденита, Быстрый уреазный тест (БУТ) на определение _H. pylori_ в биоптатах положительный ({plus}{plus}{plus})</w:t>
      </w:r>
    </w:p>
    <w:p>
      <w:pPr>
        <w:spacing w:after="58"/>
      </w:pPr>
      <w:r>
        <w:rPr>
          <w:b w:val="0"/>
          <w:i w:val="0"/>
        </w:rPr>
        <w:t>*Заключение*: Поверхностный эритематозный пангастрит. Поверхностный экссудативный дуоденит. БУТ положительный.</w:t>
      </w:r>
    </w:p>
    <w:p>
      <w:pPr>
        <w:pStyle w:val="Heading2"/>
      </w:pPr>
      <w:r>
        <w:t>3. Диагноз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 основании жалоб, клинического течения заболевания и результатов проведенных обследований можно поставить основной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поверхностный гастродуоденит, _H. pylori_ негативный, период обострения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Вторичный хронический гастродуоденит, _H. pylori_ позитивный, поверхностный, смешанный,  период обострения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пангастрит. Хронический постбульбарный дуоденит. Период обострения.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Первичный хронический гастродуоденит, _H. pylori_ позитивный, поверхностный, смешанный,  период обострения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Первичный хронический гастродуоденит, _H. pylori_ позитивный, поверхностный, смешанный,  период обострения</w:t>
      </w:r>
    </w:p>
    <w:p>
      <w:pPr>
        <w:ind w:left="504"/>
      </w:pPr>
      <w:r>
        <w:rPr>
          <w:b w:val="0"/>
          <w:i/>
        </w:rPr>
        <w:t>При формулировке диагноза необходимо указать происхождение, этиологические факторы заболевания, топографию, эндоскопические и морфологические формы поражения  желудка и двенадцатиперстной кишки, период заболевания (обострение, неполная клиническая ремиссия и др.), характер кислотной продукции желудка.</w:t>
        <w:br/>
        <w:br/>
        <w:t>Педиатрия / под ред. А. А. Баранова - Москва : ГЭОТАР-Медиа, 2014.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Диагноз</w:t>
      </w:r>
    </w:p>
    <w:p>
      <w:pPr>
        <w:spacing w:after="58"/>
      </w:pPr>
      <w:r>
        <w:rPr>
          <w:b w:val="0"/>
          <w:i w:val="0"/>
        </w:rPr>
        <w:t>Первичный хронический гастродуоденит, _H. pylori_ позитивный, поверхностный, смешанный,  период обострения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Причинная связь заболевания с H. pylori значительно повышает риск развития у данного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болезни Крона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гастроэзофагеальной рефлюксной болезни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неспецифического язвенного колита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язвенной болезни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язвенной болезни</w:t>
      </w:r>
    </w:p>
    <w:p>
      <w:pPr>
        <w:ind w:left="504"/>
      </w:pPr>
      <w:r>
        <w:rPr>
          <w:b w:val="0"/>
          <w:i/>
        </w:rPr>
        <w:t>Основной этиологический фактор в развитии хронических воспалительных заболеваний гастродуоденальной зоны — _H. pylori_, который значительно повышает риск развития ЯБ и рака желудка.</w:t>
        <w:br/>
        <w:br/>
        <w:t>Детские болезни : учебник / Геппе Н. А. - Москва : ГЭОТАР-Медиа, 2018.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Стандартная эрадикационная терапия 1 линии включает в себя 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ингибитор протоновой помпы + азитромицина + тетрациклина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ингибитор протоновой помпы + амоксициллина + кларитромицина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фамотидина + метронидазола + амоксициллина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омепразола + ципрофлоксацина + висмута субцитрата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ингибитор протоновой помпы + амоксициллина + кларитромицина</w:t>
      </w:r>
    </w:p>
    <w:p>
      <w:pPr>
        <w:ind w:left="504"/>
      </w:pPr>
      <w:r>
        <w:rPr>
          <w:b w:val="0"/>
          <w:i/>
        </w:rPr>
        <w:t>Первый этап лечебных мероприятий направлен на уменьшение действия факторов агрессии (подавление кислотно-пептического фактора, эрадикация _H. pylori_, купирование гипермоторики и дисфункции центральной и вегетативной нервных систем).</w:t>
        <w:br/>
        <w:br/>
        <w:t>Детские болезни : учебник / Геппе Н. А. - Москва : ГЭОТАР-Медиа, 2018.</w:t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 качестве терапии первой линии можно без предварительного тестирования использовать стандартную тройную терапию в течение 14 дней: ИПН (эзомепразол, рабепразол, омепразол и др.) + амоксициллин + кларитромицин (таблетки с 12 лет и гранулы для приготовления суспензии для приема внутрь) или метронидазол.</w:t>
        <w:br/>
        <w:br/>
        <w:t>Клинические рекомендации Минздрава России «Язвенная болезнь желудка и/или двенадцатиперстной кишки», 2021 год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Язвенная болезнь желудка и/или двенадцатиперстной кишки», 2021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Эрадикационная терапия 1 линии (2 вариант) подразумевает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ингибитор протоновой помпы + тетрациклин + гентамицин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ингибитор протоновой помпы + цефазолин + азитромицин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фамотидин + метронидазол + висмута субцитрат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ингибитор протоновой помпы + кларитромицин + метронидазол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ингибитор протоновой помпы + кларитромицин + метронидазол</w:t>
      </w:r>
    </w:p>
    <w:p>
      <w:pPr>
        <w:ind w:left="504"/>
      </w:pPr>
      <w:r>
        <w:rPr>
          <w:b w:val="0"/>
          <w:i/>
        </w:rPr>
        <w:t>При непереносимости Бета-лактамных антибактериальных препаратов рекомендовано рассмотреть использование схемы: ИПН + кларитромицин (таблетки с 12 лет и #гранулы для приготовления суспензии для приема внутрь) + #метронидазол</w:t>
        <w:br/>
        <w:br/>
        <w:t>Клинические рекомендации Минздрава России «Язвенная болезнь желудка и/или двенадцатиперстной кишки», 2021 год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Язвенная болезнь желудка и/или двенадцатиперстной кишки», 2021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повышения эффективности эрадикационной терапии рекомендуется добавлять к стандартной тройной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нифурател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тетрациклин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метронидазол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висмута трикалия дицитрат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висмута трикалия дицитрат</w:t>
      </w:r>
    </w:p>
    <w:p>
      <w:pPr>
        <w:ind w:left="504"/>
      </w:pPr>
      <w:r>
        <w:rPr>
          <w:b w:val="0"/>
          <w:i/>
        </w:rPr>
        <w:t>Добавление #висмута трикалия дицитрата (дозировка 8 мг/кг/сут, разделив на 4 приема) к стандартной тройной терапии повышает её эффективность. Схема висмута трикалия дицитрат + ИПН + амоксициллин + кларитромицин (таблетки с 12 лет и гранулы для приготовления суспензии для приема внутрь) или метронидазол так же рекомендуется в качестве терапии первой линии.</w:t>
        <w:br/>
        <w:br/>
        <w:t>Клинические рекомендации Минздрава России «Язвенная болезнь желудка и/или двенадцатиперстной кишки», 2021 год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Язвенная болезнь желудка и/или двенадцатиперстной кишки», 2021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данном клиническом случае продолжительность эрадикационной терапии должна составлять _____ 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3-5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5-7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7-10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10-14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10-14</w:t>
      </w:r>
    </w:p>
    <w:p>
      <w:pPr>
        <w:ind w:left="504"/>
      </w:pPr>
      <w:r>
        <w:rPr>
          <w:b w:val="0"/>
          <w:i/>
        </w:rPr>
        <w:t>Продолжительность эрадикационной терапии должна составлять 10-14 дней.</w:t>
        <w:br/>
        <w:br/>
        <w:t>Детские болезни : учебник / Геппе Н. А. - Москва : ГЭОТАР-Медиа, 2018.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Одним из частых побочных эффектов эрадикационной терапии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кровотечение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запор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одинофагия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диарея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диарея</w:t>
      </w:r>
    </w:p>
    <w:p>
      <w:pPr>
        <w:ind w:left="504"/>
      </w:pPr>
      <w:r>
        <w:rPr>
          <w:b w:val="0"/>
          <w:i/>
        </w:rPr>
        <w:t>Одним из наиболее частых нежелательных эффектов эрадикационной терапии является диарея.</w:t>
        <w:br/>
        <w:br/>
        <w:t>Клинические рекомендации Минздрава России «Язвенная болезнь желудка и/или двенадцатиперстной кишки», 2021 год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Язвенная болезнь желудка и/или двенадцатиперстной кишки», 2021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назначении квадротерапии в период обострения заболевания пациенту показа диета стол №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При обострении заболевания диета должна быть щадящей (стол № 1 по Певзнеру), а если ребенок получает коллоидный висмута трикалия дицитрат, то показана безмолочная диета (стол № 4), как и в случае патологии кишечника.</w:t>
        <w:br/>
        <w:br/>
        <w:t>Педиатрия / под ред. А. А. Баранова - Москва : ГЭОТАР-Медиа, 2014.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27873/?anchor=paragraph_o5sjt1#paragraph_o5sjt1" TargetMode="External"/><Relationship Id="rId10" Type="http://schemas.openxmlformats.org/officeDocument/2006/relationships/hyperlink" Target="https://library.mededtech.ru/rest/documents/ISBN9785970427873/?anchor=paragraph_hdt4pe#paragraph_hdt4pe" TargetMode="External"/><Relationship Id="rId11" Type="http://schemas.openxmlformats.org/officeDocument/2006/relationships/hyperlink" Target="https://library.mededtech.ru/rest/documents/KP388/" TargetMode="External"/><Relationship Id="rId12" Type="http://schemas.openxmlformats.org/officeDocument/2006/relationships/hyperlink" Target="https://library.mededtech.ru/rest/documents/KP388/#paragraph_qr5092" TargetMode="External"/><Relationship Id="rId13" Type="http://schemas.openxmlformats.org/officeDocument/2006/relationships/hyperlink" Target="https://library.mededtech.ru/rest/documents/ISBN9785970427873/?anchor=paragraph_mganjg#paragraph_mganjg" TargetMode="External"/><Relationship Id="rId14" Type="http://schemas.openxmlformats.org/officeDocument/2006/relationships/hyperlink" Target="https://library.mededtech.ru/rest/documents/ISBN9785970427873/?anchor=paragraph_ekcplv#paragraph_ekcplv" TargetMode="External"/><Relationship Id="rId15" Type="http://schemas.openxmlformats.org/officeDocument/2006/relationships/hyperlink" Target="https://library.mededtech.ru/rest/documents/ISBN9785970427873/?anchor=table_f2v2vh#table_f2v2vh" TargetMode="External"/><Relationship Id="rId16" Type="http://schemas.openxmlformats.org/officeDocument/2006/relationships/hyperlink" Target="https://library.mededtech.ru/rest/documents/Detskie_bolezni/?anchor=paragraph_tv5307#paragraph_tv5307" TargetMode="External"/><Relationship Id="rId17" Type="http://schemas.openxmlformats.org/officeDocument/2006/relationships/hyperlink" Target="https://library.mededtech.ru/rest/documents/ISBN9785970427873/?anchor=paragraph_3jtnhq#paragraph_3jtnhq" TargetMode="External"/><Relationship Id="rId18" Type="http://schemas.openxmlformats.org/officeDocument/2006/relationships/hyperlink" Target="https://library.mededtech.ru/rest/documents/KP388/#list_item_mnhnpl" TargetMode="External"/><Relationship Id="rId19" Type="http://schemas.openxmlformats.org/officeDocument/2006/relationships/hyperlink" Target="https://library.mededtech.ru/rest/documents/KP388/#list_item_h5lo0u" TargetMode="External"/><Relationship Id="rId20" Type="http://schemas.openxmlformats.org/officeDocument/2006/relationships/hyperlink" Target="https://library.mededtech.ru/rest/documents/KP388/#list_item_9at51s" TargetMode="External"/><Relationship Id="rId21" Type="http://schemas.openxmlformats.org/officeDocument/2006/relationships/hyperlink" Target="https://library.mededtech.ru/rest/documents/Detskie_bolezni/?anchor=paragraph_k4dka4#paragraph_k4dka4" TargetMode="External"/><Relationship Id="rId22" Type="http://schemas.openxmlformats.org/officeDocument/2006/relationships/hyperlink" Target="https://library.mededtech.ru/rest/documents/KP388/#paragraph_rpo52s" TargetMode="External"/><Relationship Id="rId23" Type="http://schemas.openxmlformats.org/officeDocument/2006/relationships/hyperlink" Target="https://library.mededtech.ru/rest/documents/ISBN9785970427873/?anchor=paragraph_bv7inr#paragraph_bv7in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